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  А  Й  О  Н  Е  Н    С  Ъ  Д -  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>В  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Д  И  Н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----------------------------------------------------------------------------------------------------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“</w:t>
      </w:r>
      <w:proofErr w:type="spellStart"/>
      <w:r>
        <w:rPr>
          <w:rFonts w:ascii="Verdana" w:hAnsi="Verdana"/>
          <w:color w:val="333333"/>
          <w:sz w:val="18"/>
          <w:szCs w:val="18"/>
        </w:rPr>
        <w:t>Бдинци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” № 1,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палата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тел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600782, </w:t>
      </w:r>
      <w:proofErr w:type="spellStart"/>
      <w:r>
        <w:rPr>
          <w:rFonts w:ascii="Verdana" w:hAnsi="Verdana"/>
          <w:color w:val="333333"/>
          <w:sz w:val="18"/>
          <w:szCs w:val="18"/>
        </w:rPr>
        <w:t>факс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600791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        УТВЪРДИЛ: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АДМ.РЪКОВОДИТЕЛ-ПРЕДСЕДАТЕЛ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НА РС-</w:t>
      </w:r>
      <w:proofErr w:type="gramStart"/>
      <w:r>
        <w:rPr>
          <w:rFonts w:ascii="Verdana" w:hAnsi="Verdana"/>
          <w:color w:val="333333"/>
          <w:sz w:val="18"/>
          <w:szCs w:val="18"/>
        </w:rPr>
        <w:t>ВИДИН  ДАНИЕЛ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ДИМИТРОВ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Fonts w:ascii="Verdana" w:hAnsi="Verdana"/>
          <w:color w:val="333333"/>
          <w:sz w:val="18"/>
          <w:szCs w:val="18"/>
        </w:rPr>
        <w:t>В Ъ Т Р Е Ш Н И   П Р А В И Л А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ИЗПРАЩАНЕ НА ПРИЗОВКИ И СЪОБЩЕНИЯ ЧРЕЗ ЕЛЕКТРОНЕН ПОЩЕНСКИ АДРЕС</w:t>
      </w:r>
      <w:bookmarkEnd w:id="0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1. С </w:t>
      </w:r>
      <w:proofErr w:type="spellStart"/>
      <w:r>
        <w:rPr>
          <w:rFonts w:ascii="Verdana" w:hAnsi="Verdana"/>
          <w:color w:val="333333"/>
          <w:sz w:val="18"/>
          <w:szCs w:val="18"/>
        </w:rPr>
        <w:t>тези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начина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пощенски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Районен 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2. Районен съд –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обявява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публично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посредством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интернет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www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>rs-vidin.com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информационното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табло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сградата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своя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пощенски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ще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процесуален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кодекс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рамките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своята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компетентност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в </w:t>
      </w:r>
      <w:proofErr w:type="spellStart"/>
      <w:r>
        <w:rPr>
          <w:rFonts w:ascii="Verdana" w:hAnsi="Verdana"/>
          <w:color w:val="333333"/>
          <w:sz w:val="18"/>
          <w:szCs w:val="18"/>
        </w:rPr>
        <w:t>зависимост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заявеното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3.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упълномощеният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представител,посочили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333333"/>
          <w:sz w:val="18"/>
          <w:szCs w:val="18"/>
        </w:rPr>
        <w:t>трябва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заявили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изрично,че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желаят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начин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целта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заявление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хартиен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носител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приложение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№ 1/ 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случаите</w:t>
      </w:r>
      <w:proofErr w:type="gramStart"/>
      <w:r>
        <w:rPr>
          <w:rFonts w:ascii="Verdana" w:hAnsi="Verdana"/>
          <w:color w:val="333333"/>
          <w:sz w:val="18"/>
          <w:szCs w:val="18"/>
        </w:rPr>
        <w:t>,когато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заявлението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подадено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път,то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трябва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4.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Лицата</w:t>
      </w:r>
      <w:proofErr w:type="gramStart"/>
      <w:r>
        <w:rPr>
          <w:rFonts w:ascii="Verdana" w:hAnsi="Verdana"/>
          <w:color w:val="333333"/>
          <w:sz w:val="18"/>
          <w:szCs w:val="18"/>
        </w:rPr>
        <w:t>,заявили,че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желаят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уведомени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удостоверява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заявлението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приложение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№ 1/.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5. </w:t>
      </w:r>
      <w:proofErr w:type="spellStart"/>
      <w:r>
        <w:rPr>
          <w:rFonts w:ascii="Verdana" w:hAnsi="Verdana"/>
          <w:color w:val="333333"/>
          <w:sz w:val="18"/>
          <w:szCs w:val="18"/>
        </w:rPr>
        <w:t>Когато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заявление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упълномощен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поставя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надпис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съдържание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”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Кореспонденция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............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„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6.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считат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упълномощения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информационна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система</w:t>
      </w:r>
      <w:proofErr w:type="gramStart"/>
      <w:r>
        <w:rPr>
          <w:rFonts w:ascii="Verdana" w:hAnsi="Verdana"/>
          <w:color w:val="333333"/>
          <w:sz w:val="18"/>
          <w:szCs w:val="18"/>
        </w:rPr>
        <w:t>,което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вписва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текста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Лицата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тридневен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потвърдят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книжа.Ако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сторят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предвиден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ГПК.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Връчването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удостоверява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копие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запис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     7.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запис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възпроизведеното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хартиен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носител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конкретизира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какъв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ведно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възпроизведения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запис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системата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факта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доставянето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Копие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запис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включва</w:t>
      </w:r>
      <w:proofErr w:type="gramStart"/>
      <w:r>
        <w:rPr>
          <w:rFonts w:ascii="Verdana" w:hAnsi="Verdana"/>
          <w:color w:val="333333"/>
          <w:sz w:val="18"/>
          <w:szCs w:val="18"/>
        </w:rPr>
        <w:t>:електронния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съда,електронния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получателя,дата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час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8.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прикачени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файлове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формат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Word, а </w:t>
      </w:r>
      <w:proofErr w:type="spellStart"/>
      <w:r>
        <w:rPr>
          <w:rFonts w:ascii="Verdana" w:hAnsi="Verdana"/>
          <w:color w:val="333333"/>
          <w:sz w:val="18"/>
          <w:szCs w:val="18"/>
        </w:rPr>
        <w:t>цифровите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копия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подлежащите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документи-във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формат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Tif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 Jpeg. В </w:t>
      </w:r>
      <w:proofErr w:type="spellStart"/>
      <w:r>
        <w:rPr>
          <w:rFonts w:ascii="Verdana" w:hAnsi="Verdana"/>
          <w:color w:val="333333"/>
          <w:sz w:val="18"/>
          <w:szCs w:val="18"/>
        </w:rPr>
        <w:t>името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файла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съдържа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номера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наименованието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изписан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латиница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9.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мястото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изписва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gramStart"/>
      <w:r>
        <w:rPr>
          <w:rFonts w:ascii="Verdana" w:hAnsi="Verdana"/>
          <w:color w:val="333333"/>
          <w:sz w:val="18"/>
          <w:szCs w:val="18"/>
        </w:rPr>
        <w:t>,който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изготвил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10.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файлове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прикачват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Като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предмет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номерът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наименованието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</w:t>
      </w:r>
      <w:proofErr w:type="gramStart"/>
      <w:r>
        <w:rPr>
          <w:rFonts w:ascii="Verdana" w:hAnsi="Verdana"/>
          <w:color w:val="333333"/>
          <w:sz w:val="18"/>
          <w:szCs w:val="18"/>
        </w:rPr>
        <w:t>,изписано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латиница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11.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хартиените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копия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изпратените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съобщения,придружени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извлечение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хартиен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носител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пощенска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кутия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съдържащо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изпратеното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наименованията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прикачените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файлове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изпратено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12. </w:t>
      </w:r>
      <w:proofErr w:type="spellStart"/>
      <w:r>
        <w:rPr>
          <w:rFonts w:ascii="Verdana" w:hAnsi="Verdana"/>
          <w:color w:val="333333"/>
          <w:sz w:val="18"/>
          <w:szCs w:val="18"/>
        </w:rPr>
        <w:t>Върху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извлечението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т.13се </w:t>
      </w:r>
      <w:proofErr w:type="spellStart"/>
      <w:r>
        <w:rPr>
          <w:rFonts w:ascii="Verdana" w:hAnsi="Verdana"/>
          <w:color w:val="333333"/>
          <w:sz w:val="18"/>
          <w:szCs w:val="18"/>
        </w:rPr>
        <w:t>отбелязва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химикал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потвърждението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отваряне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Отбелязването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удостоверяване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истинността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записи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пощенски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дадено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13. </w:t>
      </w:r>
      <w:proofErr w:type="spellStart"/>
      <w:r>
        <w:rPr>
          <w:rFonts w:ascii="Verdana" w:hAnsi="Verdana"/>
          <w:color w:val="333333"/>
          <w:sz w:val="18"/>
          <w:szCs w:val="18"/>
        </w:rPr>
        <w:t>Ако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технически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причини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поради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характера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обемана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възможно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като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известява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упълномощения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адвокат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избрали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уведомяване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gramStart"/>
      <w:r>
        <w:rPr>
          <w:rFonts w:ascii="Verdana" w:hAnsi="Verdana"/>
          <w:color w:val="333333"/>
          <w:sz w:val="18"/>
          <w:szCs w:val="18"/>
        </w:rPr>
        <w:t>,че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книжата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начин.В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процесуалните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текат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момента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книжата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призовкар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начин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14. </w:t>
      </w:r>
      <w:proofErr w:type="spellStart"/>
      <w:r>
        <w:rPr>
          <w:rFonts w:ascii="Verdana" w:hAnsi="Verdana"/>
          <w:color w:val="333333"/>
          <w:sz w:val="18"/>
          <w:szCs w:val="18"/>
        </w:rPr>
        <w:t>Ако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неверен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несъществуващ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поща</w:t>
      </w:r>
      <w:proofErr w:type="gramStart"/>
      <w:r>
        <w:rPr>
          <w:rFonts w:ascii="Verdana" w:hAnsi="Verdana"/>
          <w:color w:val="333333"/>
          <w:sz w:val="18"/>
          <w:szCs w:val="18"/>
        </w:rPr>
        <w:t>,призовките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настоящия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липса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постоянния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/чл.38 ГПК/.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15. </w:t>
      </w:r>
      <w:proofErr w:type="spellStart"/>
      <w:r>
        <w:rPr>
          <w:rFonts w:ascii="Verdana" w:hAnsi="Verdana"/>
          <w:color w:val="333333"/>
          <w:sz w:val="18"/>
          <w:szCs w:val="18"/>
        </w:rPr>
        <w:t>Ако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променила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веднъж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е </w:t>
      </w:r>
      <w:proofErr w:type="spellStart"/>
      <w:r>
        <w:rPr>
          <w:rFonts w:ascii="Verdana" w:hAnsi="Verdana"/>
          <w:color w:val="333333"/>
          <w:sz w:val="18"/>
          <w:szCs w:val="18"/>
        </w:rPr>
        <w:t>била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е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уведоми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новия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неизпълнение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смятат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/чл.41 ГПК/ .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последици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трябва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предупредена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първото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16.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промяна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своя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уведоми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конкретното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вече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започнало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път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17. </w:t>
      </w:r>
      <w:proofErr w:type="spellStart"/>
      <w:r>
        <w:rPr>
          <w:rFonts w:ascii="Verdana" w:hAnsi="Verdana"/>
          <w:color w:val="333333"/>
          <w:sz w:val="18"/>
          <w:szCs w:val="18"/>
        </w:rPr>
        <w:t>Цялата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кореспонденция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води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български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език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 </w:t>
      </w:r>
      <w:proofErr w:type="spellStart"/>
      <w:r>
        <w:rPr>
          <w:rFonts w:ascii="Verdana" w:hAnsi="Verdana"/>
          <w:color w:val="333333"/>
          <w:sz w:val="18"/>
          <w:szCs w:val="18"/>
        </w:rPr>
        <w:t>букви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кирилица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клавиатурна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подредба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„БДС”.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18.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Предмет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процесуалните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действия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процесуални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действия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lastRenderedPageBreak/>
        <w:t>Правилата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отношение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води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кореспонденция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-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произнася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бъдещ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предявен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</w:t>
      </w:r>
      <w:proofErr w:type="gramStart"/>
      <w:r>
        <w:rPr>
          <w:rFonts w:ascii="Verdana" w:hAnsi="Verdana"/>
          <w:color w:val="333333"/>
          <w:sz w:val="18"/>
          <w:szCs w:val="18"/>
        </w:rPr>
        <w:t>,независимо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отхвърля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уважава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-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разпореждания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чл.410 и чл.417 ГПК;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-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gramStart"/>
      <w:r>
        <w:rPr>
          <w:rFonts w:ascii="Verdana" w:hAnsi="Verdana"/>
          <w:color w:val="333333"/>
          <w:sz w:val="18"/>
          <w:szCs w:val="18"/>
        </w:rPr>
        <w:t>,постановявани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рамките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охранителни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Правилата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пощенски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чл.42 ал.4и </w:t>
      </w:r>
      <w:proofErr w:type="spellStart"/>
      <w:r>
        <w:rPr>
          <w:rFonts w:ascii="Verdana" w:hAnsi="Verdana"/>
          <w:color w:val="333333"/>
          <w:sz w:val="18"/>
          <w:szCs w:val="18"/>
        </w:rPr>
        <w:t>сл.от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 и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системата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финансово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управление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контрол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Районен 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влизат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тяхното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утвърждаване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ръководител-председател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Районен 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могат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изменяни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допълвани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тяхното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утвърждаване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Неразделна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образец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заявление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чл.3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/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Приложение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№ 1/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Изготвил</w:t>
      </w:r>
      <w:proofErr w:type="spellEnd"/>
      <w:r>
        <w:rPr>
          <w:rFonts w:ascii="Verdana" w:hAnsi="Verdana"/>
          <w:color w:val="333333"/>
          <w:sz w:val="18"/>
          <w:szCs w:val="18"/>
        </w:rPr>
        <w:t>:  </w:t>
      </w:r>
      <w:proofErr w:type="spellStart"/>
      <w:r>
        <w:rPr>
          <w:rFonts w:ascii="Verdana" w:hAnsi="Verdana"/>
          <w:color w:val="333333"/>
          <w:sz w:val="18"/>
          <w:szCs w:val="18"/>
        </w:rPr>
        <w:t>Венета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Кръстева-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администратор</w:t>
      </w:r>
      <w:proofErr w:type="spellEnd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 w:type="page"/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                                                                                         Приложение № 1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            ДО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           РАЙОНЕН СЪД-ВИДИН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</w:t>
      </w:r>
    </w:p>
    <w:p w:rsidR="009D5E2C" w:rsidRDefault="009D5E2C" w:rsidP="009D5E2C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 А Я В Л Е Н И Е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proofErr w:type="gramEnd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...............................................................................................................................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/</w:t>
      </w:r>
      <w:proofErr w:type="spellStart"/>
      <w:r>
        <w:rPr>
          <w:rFonts w:ascii="Verdana" w:hAnsi="Verdana"/>
          <w:color w:val="333333"/>
          <w:sz w:val="18"/>
          <w:szCs w:val="18"/>
        </w:rPr>
        <w:t>трите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лицето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ЕГН..........................................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Адрес</w:t>
      </w:r>
      <w:proofErr w:type="gramStart"/>
      <w:r>
        <w:rPr>
          <w:rFonts w:ascii="Verdana" w:hAnsi="Verdana"/>
          <w:color w:val="333333"/>
          <w:sz w:val="18"/>
          <w:szCs w:val="18"/>
        </w:rPr>
        <w:t>:...................................................................................................................</w:t>
      </w:r>
      <w:proofErr w:type="gramEnd"/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...............................................................................................................................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/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качество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№............./............</w:t>
      </w:r>
      <w:proofErr w:type="spellStart"/>
      <w:r>
        <w:rPr>
          <w:rFonts w:ascii="Verdana" w:hAnsi="Verdana"/>
          <w:color w:val="333333"/>
          <w:sz w:val="18"/>
          <w:szCs w:val="18"/>
        </w:rPr>
        <w:t>год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описа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РС-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Заявявам</w:t>
      </w:r>
      <w:proofErr w:type="gramStart"/>
      <w:r>
        <w:rPr>
          <w:rFonts w:ascii="Verdana" w:hAnsi="Verdana"/>
          <w:color w:val="333333"/>
          <w:sz w:val="18"/>
          <w:szCs w:val="18"/>
        </w:rPr>
        <w:t>,че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желая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>....................................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Заявявам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запознат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Вътрешните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съобщения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пощенски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чл.42 ал.4 и </w:t>
      </w:r>
      <w:proofErr w:type="spellStart"/>
      <w:r>
        <w:rPr>
          <w:rFonts w:ascii="Verdana" w:hAnsi="Verdana"/>
          <w:color w:val="333333"/>
          <w:sz w:val="18"/>
          <w:szCs w:val="18"/>
        </w:rPr>
        <w:t>сл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ГПК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Районен 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........................                                  .....................................................................</w:t>
      </w:r>
    </w:p>
    <w:p w:rsidR="009D5E2C" w:rsidRDefault="009D5E2C" w:rsidP="009D5E2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821E7" w:rsidRDefault="009D5E2C" w:rsidP="009D5E2C">
      <w:pPr>
        <w:pStyle w:val="NormalWeb"/>
        <w:jc w:val="both"/>
      </w:pPr>
      <w:r>
        <w:rPr>
          <w:rFonts w:ascii="Verdana" w:hAnsi="Verdana"/>
          <w:color w:val="333333"/>
          <w:sz w:val="18"/>
          <w:szCs w:val="18"/>
        </w:rPr>
        <w:t>      /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</w:t>
      </w:r>
      <w:proofErr w:type="spellEnd"/>
      <w:r>
        <w:rPr>
          <w:rFonts w:ascii="Verdana" w:hAnsi="Verdana"/>
          <w:color w:val="333333"/>
          <w:sz w:val="18"/>
          <w:szCs w:val="18"/>
        </w:rPr>
        <w:t>/                                                                /име</w:t>
      </w:r>
      <w:proofErr w:type="gramStart"/>
      <w:r>
        <w:rPr>
          <w:rFonts w:ascii="Verdana" w:hAnsi="Verdana"/>
          <w:color w:val="333333"/>
          <w:sz w:val="18"/>
          <w:szCs w:val="18"/>
        </w:rPr>
        <w:t>,подпис</w:t>
      </w:r>
      <w:proofErr w:type="gramEnd"/>
      <w:r>
        <w:rPr>
          <w:rFonts w:ascii="Verdana" w:hAnsi="Verdana"/>
          <w:color w:val="333333"/>
          <w:sz w:val="18"/>
          <w:szCs w:val="18"/>
        </w:rPr>
        <w:t>/</w:t>
      </w:r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2C"/>
    <w:rsid w:val="00275DA7"/>
    <w:rsid w:val="009821E7"/>
    <w:rsid w:val="009D5E2C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2019-05-31T11:35:00Z</dcterms:created>
  <dcterms:modified xsi:type="dcterms:W3CDTF">2019-05-31T11:37:00Z</dcterms:modified>
</cp:coreProperties>
</file>